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D2E9" w14:textId="1232A41B" w:rsidR="006408F8" w:rsidRPr="006408F8" w:rsidRDefault="00A73438" w:rsidP="006408F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Marinn Deluxe</w:t>
      </w:r>
      <w:r w:rsidR="006408F8" w:rsidRPr="006408F8">
        <w:rPr>
          <w:rFonts w:ascii="Arial" w:hAnsi="Arial" w:cs="Arial"/>
          <w:sz w:val="21"/>
          <w:szCs w:val="21"/>
        </w:rPr>
        <w:t xml:space="preserve"> Hotel olarak, toplumsal sorumluluklarımızı yerine getirmeyi ve sosyal sürdürülebilirliği benimsemeyi taahhüt ederiz. Aşağıda belirtilen prensiplere dayanan sosyal sürdürülebilirlik politikamızı benimseriz:</w:t>
      </w:r>
    </w:p>
    <w:p w14:paraId="16741F45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7FE05FD2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1. ÇALIŞAN HAKLARI VE ADALET:</w:t>
      </w:r>
    </w:p>
    <w:p w14:paraId="5DC8FF9C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Çalışanlarımızın haklarına saygı gösterir ve adil iş uygulamalarını destekleriz. Eşit fırsatlar, adil ücret politikaları ve iş sağlığı güvenliği konularında en yüksek standartları benimseriz.</w:t>
      </w:r>
    </w:p>
    <w:p w14:paraId="0302FB7C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24768889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2. ÇALIŞAN GELİŞİMİ:</w:t>
      </w:r>
    </w:p>
    <w:p w14:paraId="7260A3FF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Çalışanlarımızın kişisel ve profesyonel gelişimini destekleyerek, onların kariyerlerini ilerletmelerine olanak tanırız. Eğitim programları ve içsel yükselme fırsatları ile çalışanlarımızın potansiyelini maksimum düzeyde kullanmalarına yardımcı oluruz.</w:t>
      </w:r>
    </w:p>
    <w:p w14:paraId="00804F46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556DD79E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3. TOPLUMSAL KATILIM:</w:t>
      </w:r>
    </w:p>
    <w:p w14:paraId="71F5A229" w14:textId="02502DFF" w:rsidR="006408F8" w:rsidRPr="006408F8" w:rsidRDefault="00A73438" w:rsidP="006408F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Marinn Deluxe</w:t>
      </w:r>
      <w:r w:rsidR="006408F8" w:rsidRPr="006408F8">
        <w:rPr>
          <w:rFonts w:ascii="Arial" w:hAnsi="Arial" w:cs="Arial"/>
          <w:sz w:val="21"/>
          <w:szCs w:val="21"/>
        </w:rPr>
        <w:t xml:space="preserve"> Hotel olarak, yerel topluluklarımıza karşı sorumluluklarımızın bilincindeyiz. Sosyal projelere katılım, yerel kalkınma projelerine destek ve topluluk ihtiyaçlarına duyarlılık gösterme konularında etkin bir rol alırız.</w:t>
      </w:r>
    </w:p>
    <w:p w14:paraId="775AFB6C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786C5A3D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4. MÜŞTERİ MEMNUNİYETİ:</w:t>
      </w:r>
    </w:p>
    <w:p w14:paraId="6FCEC7AD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Misafir memnuniyetini en üst düzeye çıkarmayı hedefleriz. Misafirlerimizin beklentilerini anlamak ve onlara en iyi hizmeti sunmak için sürekli çaba gösteririz.</w:t>
      </w:r>
    </w:p>
    <w:p w14:paraId="6ACF18E1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25FA5245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5. İŞ SAĞLIĞI VE GÜVENLİĞİ:</w:t>
      </w:r>
    </w:p>
    <w:p w14:paraId="0F32F584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Çalışan sağlığı ve güvenliği en yüksek önceliklerimizden biridir. İş yerlerimizde güvenli çalışma koşullarını sağlamak, düzenli olarak güvenlik eğitimleri düzenlemek ve acil durum planları oluşturmak için gereken önlemleri alırız.</w:t>
      </w:r>
    </w:p>
    <w:p w14:paraId="31017144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1F630CE8" w14:textId="77777777" w:rsidR="006408F8" w:rsidRPr="006408F8" w:rsidRDefault="006408F8" w:rsidP="006408F8">
      <w:pPr>
        <w:rPr>
          <w:rFonts w:ascii="Arial" w:hAnsi="Arial" w:cs="Arial"/>
          <w:b/>
          <w:bCs/>
          <w:sz w:val="21"/>
          <w:szCs w:val="21"/>
        </w:rPr>
      </w:pPr>
      <w:r w:rsidRPr="006408F8">
        <w:rPr>
          <w:rFonts w:ascii="Arial" w:hAnsi="Arial" w:cs="Arial"/>
          <w:b/>
          <w:bCs/>
          <w:sz w:val="21"/>
          <w:szCs w:val="21"/>
        </w:rPr>
        <w:t>6. KÜLTÜREL ÇEŞİTLİLİK:</w:t>
      </w:r>
    </w:p>
    <w:p w14:paraId="35F2D388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  <w:r w:rsidRPr="006408F8">
        <w:rPr>
          <w:rFonts w:ascii="Arial" w:hAnsi="Arial" w:cs="Arial"/>
          <w:sz w:val="21"/>
          <w:szCs w:val="21"/>
        </w:rPr>
        <w:t>Farklı kültürlerden gelen çalışanları destekler ve saygı gösteririz. Çeşitli ve kapsayıcı bir iş ortamı oluşturarak, herkesin katkıda bulunabileceği bir atmosfer yaratırız.</w:t>
      </w:r>
    </w:p>
    <w:p w14:paraId="3FA9EB89" w14:textId="77777777" w:rsidR="006408F8" w:rsidRPr="006408F8" w:rsidRDefault="006408F8" w:rsidP="006408F8">
      <w:pPr>
        <w:rPr>
          <w:rFonts w:ascii="Arial" w:hAnsi="Arial" w:cs="Arial"/>
          <w:sz w:val="21"/>
          <w:szCs w:val="21"/>
        </w:rPr>
      </w:pPr>
    </w:p>
    <w:p w14:paraId="0CD51016" w14:textId="22ED718F" w:rsidR="00616C35" w:rsidRPr="006408F8" w:rsidRDefault="006408F8" w:rsidP="006408F8">
      <w:r w:rsidRPr="006408F8">
        <w:rPr>
          <w:rFonts w:ascii="Arial" w:hAnsi="Arial" w:cs="Arial"/>
          <w:sz w:val="21"/>
          <w:szCs w:val="21"/>
        </w:rPr>
        <w:t xml:space="preserve">Bu politika, </w:t>
      </w:r>
      <w:r w:rsidR="00A73438">
        <w:rPr>
          <w:rFonts w:ascii="Arial" w:hAnsi="Arial" w:cs="Arial"/>
          <w:sz w:val="21"/>
          <w:szCs w:val="21"/>
        </w:rPr>
        <w:t>Marinn Deluxe</w:t>
      </w:r>
      <w:r w:rsidRPr="006408F8">
        <w:rPr>
          <w:rFonts w:ascii="Arial" w:hAnsi="Arial" w:cs="Arial"/>
          <w:sz w:val="21"/>
          <w:szCs w:val="21"/>
        </w:rPr>
        <w:t xml:space="preserve"> Hotel'in sosyal sürdürülebilirlik taahhütlerini yansıtarak, çalışanlarımızın, misafirlerimizin ve yerel topluluklarımızın yaşamlarına olumlu bir etki yapmayı amaçlar. Sürekli iyileştirme ilkesine bağlı kalarak, sosyal sürdürülebilirlik performansımızı sürekli olarak değerlendirir ve geliştiririz.</w:t>
      </w:r>
    </w:p>
    <w:sectPr w:rsidR="00616C35" w:rsidRPr="00640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802F4" w14:textId="77777777" w:rsidR="0096668E" w:rsidRDefault="0096668E" w:rsidP="00BB79B5">
      <w:r>
        <w:separator/>
      </w:r>
    </w:p>
  </w:endnote>
  <w:endnote w:type="continuationSeparator" w:id="0">
    <w:p w14:paraId="48D45046" w14:textId="77777777" w:rsidR="0096668E" w:rsidRDefault="0096668E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481CF" w14:textId="77777777" w:rsidR="00F4472F" w:rsidRDefault="00F4472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02EDB" w14:textId="77777777" w:rsidR="00F4472F" w:rsidRDefault="00F447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DF223" w14:textId="77777777" w:rsidR="0096668E" w:rsidRDefault="0096668E" w:rsidP="00BB79B5">
      <w:r>
        <w:separator/>
      </w:r>
    </w:p>
  </w:footnote>
  <w:footnote w:type="continuationSeparator" w:id="0">
    <w:p w14:paraId="6EF120F7" w14:textId="77777777" w:rsidR="0096668E" w:rsidRDefault="0096668E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EC7BF" w14:textId="77777777" w:rsidR="00F4472F" w:rsidRDefault="00F4472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63D3C990" w:rsidR="00BB79B5" w:rsidRPr="001F09F3" w:rsidRDefault="00A73438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4EE894B8" wp14:editId="4B9E36E7">
                <wp:extent cx="952500" cy="703580"/>
                <wp:effectExtent l="0" t="0" r="0" b="1270"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08DD6A-FFF1-4C04-DAAE-8D720EBEFEC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7408DD6A-FFF1-4C04-DAAE-8D720EBEFE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04D7212F" w:rsidR="00BB79B5" w:rsidRPr="00060734" w:rsidRDefault="006408F8" w:rsidP="00BB79B5">
          <w:pPr>
            <w:jc w:val="center"/>
            <w:rPr>
              <w:rFonts w:ascii="Arial" w:hAnsi="Arial" w:cs="Arial"/>
              <w:b/>
              <w:bCs/>
            </w:rPr>
          </w:pPr>
          <w:r w:rsidRPr="006408F8">
            <w:rPr>
              <w:rFonts w:ascii="Arial" w:hAnsi="Arial" w:cs="Arial"/>
              <w:b/>
              <w:bCs/>
              <w:sz w:val="21"/>
              <w:szCs w:val="21"/>
            </w:rPr>
            <w:t>SOSYAL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1C5AFDD5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</w:t>
          </w:r>
          <w:r w:rsidR="006408F8">
            <w:rPr>
              <w:rFonts w:ascii="Arial Narrow" w:hAnsi="Arial Narrow"/>
              <w:sz w:val="20"/>
              <w:szCs w:val="20"/>
            </w:rPr>
            <w:t>2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214CF941" w:rsidR="00BB79B5" w:rsidRPr="0000223B" w:rsidRDefault="00F4472F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29.07.2024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00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0D37" w14:textId="77777777" w:rsidR="00F4472F" w:rsidRDefault="00F447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60734"/>
    <w:rsid w:val="00234155"/>
    <w:rsid w:val="002360AD"/>
    <w:rsid w:val="00367A84"/>
    <w:rsid w:val="00385A3E"/>
    <w:rsid w:val="00405549"/>
    <w:rsid w:val="0041132B"/>
    <w:rsid w:val="00433E3D"/>
    <w:rsid w:val="00524450"/>
    <w:rsid w:val="00616C35"/>
    <w:rsid w:val="006408F8"/>
    <w:rsid w:val="00735288"/>
    <w:rsid w:val="00757E41"/>
    <w:rsid w:val="007A1265"/>
    <w:rsid w:val="008D3399"/>
    <w:rsid w:val="00907CDE"/>
    <w:rsid w:val="0096668E"/>
    <w:rsid w:val="00A73438"/>
    <w:rsid w:val="00A775AB"/>
    <w:rsid w:val="00B047E8"/>
    <w:rsid w:val="00BB2F6A"/>
    <w:rsid w:val="00BB79B5"/>
    <w:rsid w:val="00BD4CC9"/>
    <w:rsid w:val="00CA6ED8"/>
    <w:rsid w:val="00CD4A7A"/>
    <w:rsid w:val="00D149E4"/>
    <w:rsid w:val="00E576D9"/>
    <w:rsid w:val="00E80F0A"/>
    <w:rsid w:val="00EA558F"/>
    <w:rsid w:val="00EA68AA"/>
    <w:rsid w:val="00F4472F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13</cp:revision>
  <dcterms:created xsi:type="dcterms:W3CDTF">2022-12-14T09:21:00Z</dcterms:created>
  <dcterms:modified xsi:type="dcterms:W3CDTF">2024-07-29T09:56:00Z</dcterms:modified>
</cp:coreProperties>
</file>